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1CBC6" w14:textId="1FFA9DC0" w:rsidR="00000000" w:rsidRPr="00E22D3F" w:rsidRDefault="00E22D3F" w:rsidP="001F16C4">
      <w:pPr>
        <w:rPr>
          <w:rFonts w:cstheme="minorHAnsi"/>
          <w:b/>
          <w:bCs/>
          <w:sz w:val="22"/>
          <w:szCs w:val="22"/>
        </w:rPr>
      </w:pPr>
      <w:r w:rsidRPr="00E22D3F">
        <w:rPr>
          <w:rFonts w:cstheme="minorHAnsi"/>
          <w:b/>
          <w:bCs/>
          <w:sz w:val="22"/>
          <w:szCs w:val="22"/>
        </w:rPr>
        <w:t>02_Príloha_Technický popis objektu</w:t>
      </w:r>
    </w:p>
    <w:p w14:paraId="2F74C7AC" w14:textId="77777777" w:rsidR="00CE43D2" w:rsidRPr="001F16C4" w:rsidRDefault="00CE43D2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Napojenie na </w:t>
      </w: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inžinierske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siete </w:t>
      </w:r>
    </w:p>
    <w:p w14:paraId="0BE76A68" w14:textId="5E3BE1B5" w:rsidR="00CE43D2" w:rsidRPr="001F16C4" w:rsidRDefault="00CE43D2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Nová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vodovodna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prípojka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pripojena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verejného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vodovodu pred objektom (HDPE D40,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dĺžka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cca 31,3m)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a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vyústena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 novej vodovodnej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šachty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Z vodovodnej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šachty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napojena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aj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fontána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pred objektom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osadeným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vlastným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meraním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Fontána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rekonštruovana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ako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samostatny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objekt SO 07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Rieši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samostatna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PD E 2.9. - Projekt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revitalizácie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fontány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). Napojenie a obsluha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fontány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SO 07 má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samostatnu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šachtu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blízkosti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objektu.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Verejna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kanalizácia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kanalizačna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prípojka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nova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prípojka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splaškovej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kanalizácie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SO 03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pripojena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splaškovu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kanalizáciu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objektu Auparku (DN200,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dĺžka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cca 75m). Na trase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osadené tri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čistiace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šachty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Pre potrebu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gastro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prevádzky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vo dvore objektu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osadena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tukova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kanalizácia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Existujúca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elektricka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prípojka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rekonštruovana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s istením 125A. </w:t>
      </w:r>
    </w:p>
    <w:p w14:paraId="025325EE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blízkosti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riešeného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územia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nachádza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opticke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vedenie metropolitnej siete Bratislava. Pripojenie objektu pre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správu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Sadu Janka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Kráľa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pozostáva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z vybudovania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nového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optického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prepojenia objektu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najbližšieho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technologického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uzla metropolitnej siete. Pripojenie objektu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určene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pre prenos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signálu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z kamier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riešeného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objektu do metropolitnej siete a pripojenie do siete internet. </w:t>
      </w:r>
    </w:p>
    <w:p w14:paraId="56B24254" w14:textId="77777777" w:rsidR="007A04CB" w:rsidRPr="001F16C4" w:rsidRDefault="007A04CB" w:rsidP="007A04CB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Zásobovanie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plynom je možné 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existujúcej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prípojky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V súčasnosti nemá objekt osadený plynomer. Prípojka bude dovedená do priestoru budúcej kuchyne na zapojenie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varných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zariadeni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gastro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prevádzky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, v prípade, že nájomca bude mať záujem. Osadenie plynomeru a zmluvu s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1F16C4">
        <w:rPr>
          <w:rFonts w:asciiTheme="minorHAnsi" w:hAnsiTheme="minorHAnsi" w:cstheme="minorHAnsi"/>
          <w:sz w:val="22"/>
          <w:szCs w:val="22"/>
        </w:rPr>
        <w:t>SPP</w:t>
      </w:r>
      <w:r>
        <w:rPr>
          <w:rFonts w:asciiTheme="minorHAnsi" w:hAnsiTheme="minorHAnsi" w:cstheme="minorHAnsi"/>
          <w:sz w:val="22"/>
          <w:szCs w:val="22"/>
        </w:rPr>
        <w:t xml:space="preserve"> bude uzatvárať prenajímateľ, ktorý bude následne nájomcovi súvisiace náklady fakturovať. </w:t>
      </w:r>
    </w:p>
    <w:p w14:paraId="465F2E70" w14:textId="77777777" w:rsidR="00CE43D2" w:rsidRPr="001F16C4" w:rsidRDefault="00CE43D2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Komunikácie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a spevnené plochy </w:t>
      </w:r>
    </w:p>
    <w:p w14:paraId="4C854F76" w14:textId="7CD77F5D" w:rsidR="00CE43D2" w:rsidRPr="001F16C4" w:rsidRDefault="00CE43D2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Pozemok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tvori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súvisly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spevneny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povrch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žulových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kamenných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kociek.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Spádovany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je smerom od objektu ku krajom. Po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stranách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lemovany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betónovými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lavicami, pod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ktorými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žľaby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na odvodnenie,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vyústene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 parku. </w:t>
      </w:r>
    </w:p>
    <w:p w14:paraId="723E1349" w14:textId="177832FA" w:rsidR="00BC0805" w:rsidRPr="001F16C4" w:rsidRDefault="00BC0805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>Štandard objektu.</w:t>
      </w:r>
    </w:p>
    <w:p w14:paraId="0D58D162" w14:textId="79AA5B29" w:rsidR="00BC0805" w:rsidRPr="001F16C4" w:rsidRDefault="00BC0805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>VZT a chladenie.</w:t>
      </w:r>
    </w:p>
    <w:p w14:paraId="511E0F96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Zariadenie č. 1 – Vetranie </w:t>
      </w: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reštaurácie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a baru</w:t>
      </w:r>
      <w:r w:rsidRPr="001F16C4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1F16C4">
        <w:rPr>
          <w:rFonts w:asciiTheme="minorHAnsi" w:hAnsiTheme="minorHAnsi" w:cstheme="minorHAnsi"/>
          <w:sz w:val="22"/>
          <w:szCs w:val="22"/>
        </w:rPr>
        <w:t xml:space="preserve">Na vetranie priestoru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reštaurácie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 baru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navrhnuta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VZT jednotka v zostave: 2 x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filtračna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komora,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doskovy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rekuperátor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výparník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2 x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ventilátorova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komora, 2 x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uzatváracia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klapka.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Rozvádzac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̌ pre jednotku bude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prevedeni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exteriéru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umiestneny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pri jednotke. Jednotka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osadena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na streche objektu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oceľovom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podstavci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dodávka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stavby).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Spodna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hrana jednotky je vo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výške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300mm nad povrchom strechy.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elimináciu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šírenia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hluku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 potrubia vradené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tlmiče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hluku.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Upraveny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vzduch sa vedie VZT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pozinkovaným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potrubím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vyfukovany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riešenom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priestore cez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výustky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osadené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spiro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potrubia.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Odvádzany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vzduch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nasávany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rovnako cez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výustky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osadené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spiro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potrubia a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vedeny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VZT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pozinkovaným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potrubím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do jednotky.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hlavných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odbočkách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rozvodov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zaregulovanie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prietoku vzduchu osadené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ručne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ovládane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regulačne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klapky. Presné doregulovanie prietoku vzduchu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reguláciou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výustkach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Rozvody vedené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zavesené pod stropom.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Všetky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rozvody vedené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izolované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izoláciou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čadičovej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vlny,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hrúbky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100mm (2 x 50mm)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r w:rsidRPr="001F16C4">
        <w:rPr>
          <w:rFonts w:asciiTheme="minorHAnsi" w:hAnsiTheme="minorHAnsi" w:cstheme="minorHAnsi"/>
          <w:sz w:val="22"/>
          <w:szCs w:val="22"/>
        </w:rPr>
        <w:lastRenderedPageBreak/>
        <w:t xml:space="preserve">a oplechované. Rozvod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prívodného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vzduchu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po celej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dĺžke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zaizolovany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kaučukovou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izoláciou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hrúbky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20mm. Potrubie je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štandardnom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prevedeni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bez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náteru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Ohrev a chladenie vzduchu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zabezpečuje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jednotka,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osadena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na podstavci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dodávka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stavby), na streche objektu. Prepojenie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jednotky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výparníkom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jednotke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izolovaným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medeným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potrubím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Ovládanie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jednotky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spoločne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jednotkou pre vetranie kuchyne.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Referenčne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produkty: VZT jednotka – ROSENBERG;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jednotka – SAMSUNG </w:t>
      </w:r>
    </w:p>
    <w:p w14:paraId="0948C756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Zariadenie č. 2 – Vetranie kuchyne </w:t>
      </w:r>
    </w:p>
    <w:p w14:paraId="4C137B85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Množstvo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vzduchu na vetranie priestoru kuchyne je navrhnuté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empirickým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výpočtom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dôvodu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prenajatia priestoru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prevádzkovateľovi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ktory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si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celkovy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návrh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vetrania kuchyne spresní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základe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skutkového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vybavenia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užívania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kuchyne.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Na vetranie priestoru kuchyne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navrhnuta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VZT jednotka v zostave: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kovovy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tukovy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filter, 2 x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filtračna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komora,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doskovy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rekuperátor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výparník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2 x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ventilátorova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komora, 2 x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uzatváracia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klapka.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Rozvádzac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 pre jednotku bude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prevedeni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exteriéru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umiestneny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pri jednotke. Jednotka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osadena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na streche objektu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oceľovom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podstavci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dodávka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stavby).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Spodna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hrana jednotky je vo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výške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300mm nad povrchom strechy.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V priestore kuchyne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navrhnuty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stredovy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odsávaci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zákryt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možnosťou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privádzania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vzduchu.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Kuchyňa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vetrana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podtlakovo,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vzniknuty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rozdiel eliminuje vzduch z priestoru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reštaurácie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Všetky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rozvody vedené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izolované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izoláciou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čadičovej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vlny,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hrúbky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50mm a oplechované. Rozvod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prívodného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vzduchu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po celej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dĺžke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zaizolovany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kaučukovou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izoláciou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hrúbky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20mm. Potrubie je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štandardnom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prevedeni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bez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náteru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A123E19" w14:textId="6AA80D4F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Ohrev a chladenie vzduchu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zabezpečuje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jednotka,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osadena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na podstavci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dodávka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stavby), na streche objektu. Prepojenie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jednotky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výparníkom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jednotke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izolovaným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medeným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potrubím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Ovládanie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jednotky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spoločne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rekuperačnou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jednotkou pre vetranie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reštaurácie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 baru.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Referenčne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produkty: VZT jednotka – ROSENBERG;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jednotka – SAMSUNG;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odsávac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zákryt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- ATREA </w:t>
      </w:r>
    </w:p>
    <w:p w14:paraId="78E4EAB1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Zariadenie č. 3 – Chladenie </w:t>
      </w: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reštaurácie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a baru </w:t>
      </w:r>
    </w:p>
    <w:p w14:paraId="010C8F8D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elimináciu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tepelných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ziskov priestoru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reštaurácie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navrhnuty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centrálny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systém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chladenia,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pozostávajúci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br/>
        <w:t xml:space="preserve">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vonkajšej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jednotky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pätice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kanálových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jednotiek.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jednotka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osadena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na podstavci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dodávka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stavby), na streche objektu. Prepojenie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kondenzačnej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jednotky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vnútornými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jednotkami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izolovaným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medeným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potrubím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Rozvod chladiva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vedeny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po streche objektu,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dodatočne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zaizolovany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kaučukovou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izoláciu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hrúbky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10mm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chráneny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proti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mechanickému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poškodeniu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fóliou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na to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určenou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Rozvod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vedeny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zaveseny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pod stropom objektu. Potrubie je </w:t>
      </w:r>
    </w:p>
    <w:p w14:paraId="59EBC274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štandardnom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prevedeni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bez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náteru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Centrálny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systém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chladenia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zabezpečuje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okrem chladenia priestoru v lete aj dokurovanie priestoru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zimných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mesiacoch.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Ovládanie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jednotiek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spoločným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nástenným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ovládačom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umiestneným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 priestore baru.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Presnu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polohu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ovládača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urči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investor.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Referenčne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produkty: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Centrálny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chladiaci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systém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– SAMSUNG </w:t>
      </w:r>
    </w:p>
    <w:p w14:paraId="448FB8C1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Zariadenie č. 4 – Vetranie WC </w:t>
      </w:r>
    </w:p>
    <w:p w14:paraId="58AF9689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sz w:val="22"/>
          <w:szCs w:val="22"/>
        </w:rPr>
        <w:lastRenderedPageBreak/>
        <w:t>Odsávanie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priestoru WC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zabezpečuje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nástrešny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Znehodnoteny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vzduch je 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každej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kobky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odsávany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cez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tanierovy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ventil a cez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spiro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potrubie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vyvedeny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exteriéru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Odsávany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vzduch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nahrádzany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vzduchom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okolitých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priestorov. Potrubie je vedené pod stropom objektu. Potrubie je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štandardnom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prevedeni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bez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náteru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Spúšťanie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spoločne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so svetlom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vybaveny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časovým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dobehom.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Referenčne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produkty: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– ROSENBERG </w:t>
      </w:r>
    </w:p>
    <w:p w14:paraId="632ED81D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Zariadenie č. 5 – Vetranie </w:t>
      </w: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zázemia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objektu </w:t>
      </w:r>
    </w:p>
    <w:p w14:paraId="1725C247" w14:textId="77777777" w:rsidR="00BC0805" w:rsidRPr="001F16C4" w:rsidRDefault="00BC0805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odsávanie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zázemia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objektu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navrhnuté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radiálne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odsávacie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osadené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podhľadu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Znehodnoteny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vzduch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ventilátormi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tlačeny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spiro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potrubia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vyfukovany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nad strechu objektu cez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kruhove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striešky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Potrubie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exteriéri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izolované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kaučukovou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izoláciou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hrúbky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20mm s ochrannou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fóliou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proti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mechanickému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poškodeniu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Potrubie je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štandardnom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pozink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prevedeni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bez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náteru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  <w:r w:rsidRPr="001F16C4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vybavene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spätnou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klapkou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časovým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dobehom.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Spúšťanie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spoločne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so svetlom.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Referenčne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produkty: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ventilátory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– VORTICE </w:t>
      </w:r>
    </w:p>
    <w:p w14:paraId="69A51CD8" w14:textId="28F284B2" w:rsidR="00BC0805" w:rsidRPr="001F16C4" w:rsidRDefault="00BC0805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>Povrchy interiéru.</w:t>
      </w:r>
    </w:p>
    <w:p w14:paraId="35A8C44E" w14:textId="5CD90986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Podlaha v odbytovej časti -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brúseny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betón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lakovany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́.</w:t>
      </w:r>
    </w:p>
    <w:p w14:paraId="55727C61" w14:textId="0AFA94CA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Súčasťou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vrstiev je tak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podlahove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vykurovanie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nášľapnou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povrchovou vrstvou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brúseného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betónu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Betón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povrchovo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upraveny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ako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leskly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povrch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prírodnou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štruktúrou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betónu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oderuvzdorny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ľahko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umývateľny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́. </w:t>
      </w:r>
    </w:p>
    <w:p w14:paraId="4A2ABA76" w14:textId="75E5A9B0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>Podlaha v zázemí a hygienickej časti a</w:t>
      </w:r>
      <w:r w:rsidR="001F16C4"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 zázemia </w:t>
      </w:r>
      <w:proofErr w:type="spellStart"/>
      <w:r w:rsidR="001F16C4" w:rsidRPr="001F16C4">
        <w:rPr>
          <w:rFonts w:asciiTheme="minorHAnsi" w:hAnsiTheme="minorHAnsi" w:cstheme="minorHAnsi"/>
          <w:b/>
          <w:bCs/>
          <w:sz w:val="22"/>
          <w:szCs w:val="22"/>
        </w:rPr>
        <w:t>gastro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F16C4" w:rsidRPr="001F16C4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F16C4" w:rsidRPr="001F16C4">
        <w:rPr>
          <w:rFonts w:asciiTheme="minorHAnsi" w:hAnsiTheme="minorHAnsi" w:cstheme="minorHAnsi"/>
          <w:sz w:val="22"/>
          <w:szCs w:val="22"/>
        </w:rPr>
        <w:t xml:space="preserve">podlaha bude ukončená keramickou alebo </w:t>
      </w:r>
      <w:proofErr w:type="spellStart"/>
      <w:r w:rsidR="001F16C4" w:rsidRPr="001F16C4">
        <w:rPr>
          <w:rFonts w:asciiTheme="minorHAnsi" w:hAnsiTheme="minorHAnsi" w:cstheme="minorHAnsi"/>
          <w:sz w:val="22"/>
          <w:szCs w:val="22"/>
        </w:rPr>
        <w:t>gressovou</w:t>
      </w:r>
      <w:proofErr w:type="spellEnd"/>
      <w:r w:rsidR="001F16C4" w:rsidRPr="001F16C4">
        <w:rPr>
          <w:rFonts w:asciiTheme="minorHAnsi" w:hAnsiTheme="minorHAnsi" w:cstheme="minorHAnsi"/>
          <w:sz w:val="22"/>
          <w:szCs w:val="22"/>
        </w:rPr>
        <w:t xml:space="preserve"> dlažbou.</w:t>
      </w:r>
    </w:p>
    <w:p w14:paraId="65E6BA81" w14:textId="584A0E69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Steny odbytová časť -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– omietky.</w:t>
      </w:r>
    </w:p>
    <w:p w14:paraId="4CD510FE" w14:textId="46E7B54E" w:rsidR="00E702CA" w:rsidRPr="001F16C4" w:rsidRDefault="00E702CA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objetke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navrhutá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hrubuá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jadrovuá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omietka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prírodnom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odtieni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šeda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́),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niečo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spôsob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podkladovej cementovej omietky, do roviny vodorovne rovnanej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podľa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vodiacich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zvislých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lati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2 m dlhou latou. Omietku navrhujeme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cementovu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zloženie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jadrovu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vnútorna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vrstva klasickej skladby),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šúchana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́ (latou vodorovne),</w:t>
      </w:r>
      <w:r w:rsidRPr="001F16C4">
        <w:rPr>
          <w:rFonts w:asciiTheme="minorHAnsi" w:hAnsiTheme="minorHAnsi" w:cstheme="minorHAnsi"/>
          <w:sz w:val="22"/>
          <w:szCs w:val="22"/>
        </w:rPr>
        <w:br/>
        <w:t xml:space="preserve">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väčším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zrnom (4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az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 6mm),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prirodzeny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odtien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̌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šeda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cementova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́). </w:t>
      </w:r>
    </w:p>
    <w:p w14:paraId="43B6D588" w14:textId="3818213F" w:rsidR="001F16C4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Steny zázemie </w:t>
      </w: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gastro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a hygiena -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– </w:t>
      </w:r>
      <w:r w:rsidR="001F16C4" w:rsidRPr="001F16C4">
        <w:rPr>
          <w:rFonts w:asciiTheme="minorHAnsi" w:hAnsiTheme="minorHAnsi" w:cstheme="minorHAnsi"/>
          <w:sz w:val="22"/>
          <w:szCs w:val="22"/>
        </w:rPr>
        <w:t xml:space="preserve">steny </w:t>
      </w:r>
      <w:r w:rsidR="00E22D3F">
        <w:rPr>
          <w:rFonts w:asciiTheme="minorHAnsi" w:hAnsiTheme="minorHAnsi" w:cstheme="minorHAnsi"/>
          <w:sz w:val="22"/>
          <w:szCs w:val="22"/>
        </w:rPr>
        <w:t xml:space="preserve">hygieny </w:t>
      </w:r>
      <w:r w:rsidR="001F16C4" w:rsidRPr="001F16C4">
        <w:rPr>
          <w:rFonts w:asciiTheme="minorHAnsi" w:hAnsiTheme="minorHAnsi" w:cstheme="minorHAnsi"/>
          <w:sz w:val="22"/>
          <w:szCs w:val="22"/>
        </w:rPr>
        <w:t xml:space="preserve">budú ukončené keramickým alebo </w:t>
      </w:r>
      <w:proofErr w:type="spellStart"/>
      <w:r w:rsidR="001F16C4" w:rsidRPr="001F16C4">
        <w:rPr>
          <w:rFonts w:asciiTheme="minorHAnsi" w:hAnsiTheme="minorHAnsi" w:cstheme="minorHAnsi"/>
          <w:sz w:val="22"/>
          <w:szCs w:val="22"/>
        </w:rPr>
        <w:t>gressovým</w:t>
      </w:r>
      <w:proofErr w:type="spellEnd"/>
      <w:r w:rsidR="001F16C4" w:rsidRPr="001F16C4">
        <w:rPr>
          <w:rFonts w:asciiTheme="minorHAnsi" w:hAnsiTheme="minorHAnsi" w:cstheme="minorHAnsi"/>
          <w:sz w:val="22"/>
          <w:szCs w:val="22"/>
        </w:rPr>
        <w:t xml:space="preserve"> obkladom.</w:t>
      </w:r>
      <w:r w:rsidR="00E22D3F">
        <w:rPr>
          <w:rFonts w:asciiTheme="minorHAnsi" w:hAnsiTheme="minorHAnsi" w:cstheme="minorHAnsi"/>
          <w:sz w:val="22"/>
          <w:szCs w:val="22"/>
        </w:rPr>
        <w:t xml:space="preserve"> Steny v skladoch budú ošetrené umývateľným náterom.</w:t>
      </w:r>
    </w:p>
    <w:p w14:paraId="35C08747" w14:textId="533F6FF4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>Podhľady.</w:t>
      </w:r>
    </w:p>
    <w:p w14:paraId="43152020" w14:textId="2030BB08" w:rsidR="001F16C4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Celý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podhľad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 odbytovej časti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očisteny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od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korózie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 zbytkov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cementových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mált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lokálne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zoškrabanie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opieskovanie,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očistenie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drôtenou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kefou).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Následne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na celej ploche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ošetreny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protikoróznym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nástrekom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, RAL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podľa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výberu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architekta</w:t>
      </w:r>
      <w:r w:rsidR="001F16C4" w:rsidRPr="001F16C4">
        <w:rPr>
          <w:rFonts w:asciiTheme="minorHAnsi" w:hAnsiTheme="minorHAnsi" w:cstheme="minorHAnsi"/>
          <w:sz w:val="22"/>
          <w:szCs w:val="22"/>
        </w:rPr>
        <w:t xml:space="preserve"> – </w:t>
      </w:r>
      <w:r w:rsidR="00E22D3F">
        <w:rPr>
          <w:rFonts w:asciiTheme="minorHAnsi" w:hAnsiTheme="minorHAnsi" w:cstheme="minorHAnsi"/>
          <w:sz w:val="22"/>
          <w:szCs w:val="22"/>
        </w:rPr>
        <w:t>slonová kosť</w:t>
      </w:r>
      <w:r w:rsidR="001F16C4" w:rsidRPr="001F16C4">
        <w:rPr>
          <w:rFonts w:asciiTheme="minorHAnsi" w:hAnsiTheme="minorHAnsi" w:cstheme="minorHAnsi"/>
          <w:sz w:val="22"/>
          <w:szCs w:val="22"/>
        </w:rPr>
        <w:t>.</w:t>
      </w:r>
    </w:p>
    <w:p w14:paraId="31B1E99F" w14:textId="7DD2D8C4" w:rsidR="001F16C4" w:rsidRPr="001F16C4" w:rsidRDefault="001F16C4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V prípade záujmu nájomcu môže prísť s návrhom na zavesený lamelový </w:t>
      </w:r>
      <w:r w:rsidR="00E22D3F">
        <w:rPr>
          <w:rFonts w:asciiTheme="minorHAnsi" w:hAnsiTheme="minorHAnsi" w:cstheme="minorHAnsi"/>
          <w:sz w:val="22"/>
          <w:szCs w:val="22"/>
        </w:rPr>
        <w:t xml:space="preserve">alebo textilný </w:t>
      </w:r>
      <w:r w:rsidRPr="001F16C4">
        <w:rPr>
          <w:rFonts w:asciiTheme="minorHAnsi" w:hAnsiTheme="minorHAnsi" w:cstheme="minorHAnsi"/>
          <w:sz w:val="22"/>
          <w:szCs w:val="22"/>
        </w:rPr>
        <w:t>podhľad.</w:t>
      </w:r>
    </w:p>
    <w:p w14:paraId="7A762E47" w14:textId="0BAD2F07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častiach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zázemia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(toalety,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zázemie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gastra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)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realizovany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zaveseny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r w:rsidR="00E22D3F">
        <w:rPr>
          <w:rFonts w:asciiTheme="minorHAnsi" w:hAnsiTheme="minorHAnsi" w:cstheme="minorHAnsi"/>
          <w:sz w:val="22"/>
          <w:szCs w:val="22"/>
        </w:rPr>
        <w:t xml:space="preserve">SDK </w:t>
      </w:r>
      <w:proofErr w:type="spellStart"/>
      <w:r w:rsidR="00E22D3F">
        <w:rPr>
          <w:rFonts w:asciiTheme="minorHAnsi" w:hAnsiTheme="minorHAnsi" w:cstheme="minorHAnsi"/>
          <w:sz w:val="22"/>
          <w:szCs w:val="22"/>
        </w:rPr>
        <w:t>p</w:t>
      </w:r>
      <w:r w:rsidRPr="001F16C4">
        <w:rPr>
          <w:rFonts w:asciiTheme="minorHAnsi" w:hAnsiTheme="minorHAnsi" w:cstheme="minorHAnsi"/>
          <w:sz w:val="22"/>
          <w:szCs w:val="22"/>
        </w:rPr>
        <w:t>odhľad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463AF78" w14:textId="518800A5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Sadrokartónove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konštrukcie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8FB0A69" w14:textId="02645D77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sz w:val="22"/>
          <w:szCs w:val="22"/>
        </w:rPr>
        <w:lastRenderedPageBreak/>
        <w:t>Priečky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podhľady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realizované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klasickým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SDK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systémom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(referencia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Knauf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).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Konštrukcia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pomocou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oceľových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UW a CW profilov. Medzery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vyplnené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minerálnou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vlnou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kvôli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akustike.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Opláštenie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konštrukcii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z jednej strany zo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sadrokartónových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dosiek (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vodeodolných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častiach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dispozície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zvýšenou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vlhkosťou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(hygiena,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kuchyňa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) -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impregnovaním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 povrchovou sklenou tkaninou, opatrenou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ochranným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vodoodpudivým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náterom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).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konštrukciu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bude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lepena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finálna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povrchova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úprava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– dosky Bond v hr. 5 mm. </w:t>
      </w:r>
    </w:p>
    <w:p w14:paraId="41CB397B" w14:textId="77777777" w:rsidR="00E702CA" w:rsidRPr="001F16C4" w:rsidRDefault="00E702CA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V miestnosti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upratovačky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inštalovat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revízny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otvor.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Finálna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povrchova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úprava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sa rozhodne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základe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vzoriek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dodávateľa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Uvažuje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sa o lesklom antikore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eloxovanom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hliníku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V mieste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zázemia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reštaurácie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štandardny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sadrokartón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umývateľným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bielym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náterom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>.</w:t>
      </w:r>
    </w:p>
    <w:p w14:paraId="1072F606" w14:textId="687D477C" w:rsidR="001F16C4" w:rsidRPr="001F16C4" w:rsidRDefault="001F16C4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Zariaďovacie</w:t>
      </w:r>
      <w:proofErr w:type="spellEnd"/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 predmety zdravotechniky. </w:t>
      </w:r>
    </w:p>
    <w:p w14:paraId="7D429F8D" w14:textId="77777777" w:rsidR="001F16C4" w:rsidRPr="001F16C4" w:rsidRDefault="001F16C4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V objekte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použite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bežne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sériovo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vyrábane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zariaďovacie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predmety,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vyhovujúce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účelom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v danom objekte 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brane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z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platných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katalógov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zariaďovacích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predmetov. </w:t>
      </w:r>
    </w:p>
    <w:p w14:paraId="3023E1F8" w14:textId="4FF44D65" w:rsidR="001F16C4" w:rsidRPr="001F16C4" w:rsidRDefault="001F16C4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proofErr w:type="spellStart"/>
      <w:r w:rsidRPr="001F16C4">
        <w:rPr>
          <w:rFonts w:asciiTheme="minorHAnsi" w:hAnsiTheme="minorHAnsi" w:cstheme="minorHAnsi"/>
          <w:sz w:val="22"/>
          <w:szCs w:val="22"/>
        </w:rPr>
        <w:t>Súčasťou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hygieny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interiérove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doplnky, povrchovej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úpravy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nerez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: ku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každému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wc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– kefa,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držiak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toaletny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papier; ku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každému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umývadlu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automatický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dávkovac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 mydla,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zásobník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papierových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utierok a zrkadlo 400x600mm (lepené), zrkadlo 400x600mm v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bezbariérovom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wc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sklopné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nerezove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antivandal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; do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každej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hyg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miestnosti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maly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odpadkovy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kôs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̌. </w:t>
      </w:r>
    </w:p>
    <w:p w14:paraId="780BBF51" w14:textId="77777777" w:rsidR="001F16C4" w:rsidRDefault="001F16C4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  <w:r w:rsidRPr="001F16C4">
        <w:rPr>
          <w:rFonts w:asciiTheme="minorHAnsi" w:hAnsiTheme="minorHAnsi" w:cstheme="minorHAnsi"/>
          <w:sz w:val="22"/>
          <w:szCs w:val="22"/>
        </w:rPr>
        <w:t xml:space="preserve">Do dvorov 0.22 a 0.23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vyviest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nezámrzny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́ ventil studenej vody,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úprava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chróm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. Do dvora 0.23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vyviest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̌ studenú vodu k </w:t>
      </w:r>
      <w:proofErr w:type="spellStart"/>
      <w:r w:rsidRPr="001F16C4">
        <w:rPr>
          <w:rFonts w:asciiTheme="minorHAnsi" w:hAnsiTheme="minorHAnsi" w:cstheme="minorHAnsi"/>
          <w:sz w:val="22"/>
          <w:szCs w:val="22"/>
        </w:rPr>
        <w:t>chladenému</w:t>
      </w:r>
      <w:proofErr w:type="spellEnd"/>
      <w:r w:rsidRPr="001F16C4">
        <w:rPr>
          <w:rFonts w:asciiTheme="minorHAnsi" w:hAnsiTheme="minorHAnsi" w:cstheme="minorHAnsi"/>
          <w:sz w:val="22"/>
          <w:szCs w:val="22"/>
        </w:rPr>
        <w:t xml:space="preserve"> skladu odpadu.</w:t>
      </w:r>
      <w:r w:rsidRPr="001F16C4">
        <w:rPr>
          <w:rFonts w:asciiTheme="minorHAnsi" w:hAnsiTheme="minorHAnsi" w:cstheme="minorHAnsi"/>
          <w:sz w:val="22"/>
          <w:szCs w:val="22"/>
        </w:rPr>
        <w:br/>
      </w:r>
    </w:p>
    <w:p w14:paraId="19958431" w14:textId="7A40DB86" w:rsidR="001F16C4" w:rsidRDefault="001F16C4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 w:rsidRPr="001F16C4">
        <w:rPr>
          <w:rFonts w:asciiTheme="minorHAnsi" w:hAnsiTheme="minorHAnsi" w:cstheme="minorHAnsi"/>
          <w:b/>
          <w:bCs/>
          <w:sz w:val="22"/>
          <w:szCs w:val="22"/>
        </w:rPr>
        <w:t xml:space="preserve">Zariadenie </w:t>
      </w:r>
      <w:proofErr w:type="spellStart"/>
      <w:r w:rsidRPr="001F16C4">
        <w:rPr>
          <w:rFonts w:asciiTheme="minorHAnsi" w:hAnsiTheme="minorHAnsi" w:cstheme="minorHAnsi"/>
          <w:b/>
          <w:bCs/>
          <w:sz w:val="22"/>
          <w:szCs w:val="22"/>
        </w:rPr>
        <w:t>prevádzky</w:t>
      </w:r>
      <w:r w:rsidR="00E22D3F">
        <w:rPr>
          <w:rFonts w:asciiTheme="minorHAnsi" w:hAnsiTheme="minorHAnsi" w:cstheme="minorHAnsi"/>
          <w:b/>
          <w:bCs/>
          <w:sz w:val="22"/>
          <w:szCs w:val="22"/>
        </w:rPr>
        <w:t>_sumár</w:t>
      </w:r>
      <w:proofErr w:type="spellEnd"/>
      <w:r w:rsidR="00E22D3F">
        <w:rPr>
          <w:rFonts w:asciiTheme="minorHAnsi" w:hAnsiTheme="minorHAnsi" w:cstheme="minorHAnsi"/>
          <w:b/>
          <w:bCs/>
          <w:sz w:val="22"/>
          <w:szCs w:val="22"/>
        </w:rPr>
        <w:t xml:space="preserve"> :</w:t>
      </w:r>
    </w:p>
    <w:p w14:paraId="1C57A09F" w14:textId="435802FB" w:rsidR="00293D5C" w:rsidRDefault="00293D5C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Objekt bude mať ukončené povrchy.</w:t>
      </w:r>
    </w:p>
    <w:p w14:paraId="22773419" w14:textId="27C933E6" w:rsidR="00293D5C" w:rsidRDefault="00293D5C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VZT a chladenie bude zrealizované v celom objekte.</w:t>
      </w:r>
    </w:p>
    <w:p w14:paraId="6CD8BBFE" w14:textId="61D76120" w:rsidR="00293D5C" w:rsidRDefault="00293D5C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Elektroinštalácie budú ukončené kompletne, okrem rozvodov v mieste baru a zázemia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gastro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>. Tam budú pripravené vývody a pripojovacie body na možnosť realizovať finálne riešenie podľa požiadaviek nájomcu.</w:t>
      </w:r>
    </w:p>
    <w:p w14:paraId="1EB5EC0F" w14:textId="504D17B0" w:rsidR="00293D5C" w:rsidRDefault="00293D5C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Vybavenie </w:t>
      </w:r>
      <w:proofErr w:type="spellStart"/>
      <w:r>
        <w:rPr>
          <w:rFonts w:asciiTheme="minorHAnsi" w:hAnsiTheme="minorHAnsi" w:cstheme="minorHAnsi"/>
          <w:b/>
          <w:bCs/>
          <w:sz w:val="22"/>
          <w:szCs w:val="22"/>
        </w:rPr>
        <w:t>gastro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 xml:space="preserve"> si dodá nájomca. V priestore budú pripravené pripojovacie body.</w:t>
      </w:r>
    </w:p>
    <w:p w14:paraId="3892A350" w14:textId="1AABB188" w:rsidR="00293D5C" w:rsidRDefault="00293D5C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Vybavenie odbytovej časti – nábytok – dodá nájomca</w:t>
      </w:r>
      <w:r w:rsidR="006F1EBE">
        <w:rPr>
          <w:rFonts w:asciiTheme="minorHAnsi" w:hAnsiTheme="minorHAnsi" w:cstheme="minorHAnsi"/>
          <w:b/>
          <w:bCs/>
          <w:sz w:val="22"/>
          <w:szCs w:val="22"/>
        </w:rPr>
        <w:t>, referencia pre zariadeni</w:t>
      </w:r>
      <w:r w:rsidR="00E66BC3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6F1EBE">
        <w:rPr>
          <w:rFonts w:asciiTheme="minorHAnsi" w:hAnsiTheme="minorHAnsi" w:cstheme="minorHAnsi"/>
          <w:b/>
          <w:bCs/>
          <w:sz w:val="22"/>
          <w:szCs w:val="22"/>
        </w:rPr>
        <w:t xml:space="preserve"> interiéru je súčasťou prílohy č.3</w:t>
      </w:r>
    </w:p>
    <w:p w14:paraId="1F3C6F83" w14:textId="77777777" w:rsidR="00E22D3F" w:rsidRDefault="00E22D3F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</w:p>
    <w:p w14:paraId="4808CAC0" w14:textId="77777777" w:rsidR="001F16C4" w:rsidRPr="001F16C4" w:rsidRDefault="001F16C4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</w:p>
    <w:p w14:paraId="24B4DD19" w14:textId="77777777" w:rsidR="001F16C4" w:rsidRPr="001F16C4" w:rsidRDefault="001F16C4" w:rsidP="001F16C4">
      <w:pPr>
        <w:pStyle w:val="Normlnywebov"/>
        <w:rPr>
          <w:rFonts w:asciiTheme="minorHAnsi" w:hAnsiTheme="minorHAnsi" w:cstheme="minorHAnsi"/>
          <w:sz w:val="22"/>
          <w:szCs w:val="22"/>
        </w:rPr>
      </w:pPr>
    </w:p>
    <w:p w14:paraId="42E5CB88" w14:textId="77777777" w:rsidR="00E702CA" w:rsidRPr="001F16C4" w:rsidRDefault="00E702CA" w:rsidP="001F16C4">
      <w:pPr>
        <w:pStyle w:val="Normlnywebov"/>
        <w:rPr>
          <w:rFonts w:asciiTheme="minorHAnsi" w:hAnsiTheme="minorHAnsi" w:cstheme="minorHAnsi"/>
          <w:b/>
          <w:bCs/>
          <w:sz w:val="22"/>
          <w:szCs w:val="22"/>
        </w:rPr>
      </w:pPr>
    </w:p>
    <w:p w14:paraId="0C5268AB" w14:textId="77777777" w:rsidR="00CE43D2" w:rsidRPr="001F16C4" w:rsidRDefault="00CE43D2" w:rsidP="001F16C4">
      <w:pPr>
        <w:rPr>
          <w:rFonts w:cstheme="minorHAnsi"/>
          <w:sz w:val="22"/>
          <w:szCs w:val="22"/>
        </w:rPr>
      </w:pPr>
    </w:p>
    <w:sectPr w:rsidR="00CE43D2" w:rsidRPr="001F16C4" w:rsidSect="000B5D6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56F78"/>
    <w:multiLevelType w:val="multilevel"/>
    <w:tmpl w:val="40161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B66B2C"/>
    <w:multiLevelType w:val="multilevel"/>
    <w:tmpl w:val="9FA8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711498"/>
    <w:multiLevelType w:val="multilevel"/>
    <w:tmpl w:val="675A5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82578D"/>
    <w:multiLevelType w:val="hybridMultilevel"/>
    <w:tmpl w:val="DF5A2740"/>
    <w:lvl w:ilvl="0" w:tplc="70C0FA5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858072">
    <w:abstractNumId w:val="2"/>
  </w:num>
  <w:num w:numId="2" w16cid:durableId="2320827">
    <w:abstractNumId w:val="1"/>
  </w:num>
  <w:num w:numId="3" w16cid:durableId="121731103">
    <w:abstractNumId w:val="0"/>
  </w:num>
  <w:num w:numId="4" w16cid:durableId="48693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D9"/>
    <w:rsid w:val="000B5D67"/>
    <w:rsid w:val="001F16C4"/>
    <w:rsid w:val="002513F5"/>
    <w:rsid w:val="00293D5C"/>
    <w:rsid w:val="002A7DA5"/>
    <w:rsid w:val="002E38D9"/>
    <w:rsid w:val="006F1EBE"/>
    <w:rsid w:val="007A04CB"/>
    <w:rsid w:val="009513E5"/>
    <w:rsid w:val="00BC0805"/>
    <w:rsid w:val="00CE43D2"/>
    <w:rsid w:val="00E22D3F"/>
    <w:rsid w:val="00E66BC3"/>
    <w:rsid w:val="00E702CA"/>
    <w:rsid w:val="00EC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9C2A6"/>
  <w15:chartTrackingRefBased/>
  <w15:docId w15:val="{00D037AC-D2AC-8043-8E07-9874A5C4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xp1">
    <w:name w:val="xp1"/>
    <w:basedOn w:val="Normlny"/>
    <w:rsid w:val="002E38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  <w:style w:type="paragraph" w:customStyle="1" w:styleId="xmsonormal">
    <w:name w:val="xmsonormal"/>
    <w:basedOn w:val="Normlny"/>
    <w:rsid w:val="002E38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  <w:style w:type="character" w:customStyle="1" w:styleId="apple-converted-space">
    <w:name w:val="apple-converted-space"/>
    <w:basedOn w:val="Predvolenpsmoodseku"/>
    <w:rsid w:val="002E38D9"/>
  </w:style>
  <w:style w:type="paragraph" w:styleId="Odsekzoznamu">
    <w:name w:val="List Paragraph"/>
    <w:basedOn w:val="Normlny"/>
    <w:uiPriority w:val="34"/>
    <w:qFormat/>
    <w:rsid w:val="00EC6B5D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CE43D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8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18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2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8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1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6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3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4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0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9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72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8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5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80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7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71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2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9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26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9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43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9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7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04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4248DBBD9BC84F9F5992785CDF6145" ma:contentTypeVersion="17" ma:contentTypeDescription="Create a new document." ma:contentTypeScope="" ma:versionID="e8406a530a89db8ba45cdc57bc8e5577">
  <xsd:schema xmlns:xsd="http://www.w3.org/2001/XMLSchema" xmlns:xs="http://www.w3.org/2001/XMLSchema" xmlns:p="http://schemas.microsoft.com/office/2006/metadata/properties" xmlns:ns2="490efe87-b5db-4f83-9bf6-c39f45d643d5" xmlns:ns3="1981d102-2f24-43be-9cf6-273f3a76d8c4" targetNamespace="http://schemas.microsoft.com/office/2006/metadata/properties" ma:root="true" ma:fieldsID="9f52c41547e9666acf2665fa390b1149" ns2:_="" ns3:_="">
    <xsd:import namespace="490efe87-b5db-4f83-9bf6-c39f45d643d5"/>
    <xsd:import namespace="1981d102-2f24-43be-9cf6-273f3a76d8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efe87-b5db-4f83-9bf6-c39f45d643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81d102-2f24-43be-9cf6-273f3a76d8c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f39a0-2842-4d55-8cce-b291528f3caf}" ma:internalName="TaxCatchAll" ma:showField="CatchAllData" ma:web="1981d102-2f24-43be-9cf6-273f3a76d8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C0318B-5BCC-44CB-B67E-22B22499D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779B2A-D78D-4C13-AC22-366A57662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0efe87-b5db-4f83-9bf6-c39f45d643d5"/>
    <ds:schemaRef ds:uri="1981d102-2f24-43be-9cf6-273f3a76d8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1682</Words>
  <Characters>9590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Dzurilla Marcel</dc:creator>
  <cp:keywords/>
  <dc:description/>
  <cp:lastModifiedBy>Hlaváčik Tomáš, Mgr.</cp:lastModifiedBy>
  <cp:revision>7</cp:revision>
  <dcterms:created xsi:type="dcterms:W3CDTF">2023-07-04T07:28:00Z</dcterms:created>
  <dcterms:modified xsi:type="dcterms:W3CDTF">2023-08-18T11:33:00Z</dcterms:modified>
</cp:coreProperties>
</file>